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widowControl w:val="1"/>
        <w:tabs>
          <w:tab w:leader="none" w:pos="900" w:val="left"/>
        </w:tabs>
        <w:ind/>
        <w:jc w:val="center"/>
        <w:rPr>
          <w:b w:val="1"/>
          <w:sz w:val="32"/>
        </w:rPr>
      </w:pPr>
      <w:r>
        <w:rPr>
          <w:b w:val="1"/>
          <w:sz w:val="32"/>
        </w:rPr>
        <w:t>Об итогах работы комиссии</w:t>
      </w:r>
    </w:p>
    <w:p w14:paraId="06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>Совета контрольно-счетных органов при Счетной палате Российской Федераци</w:t>
      </w:r>
      <w:r>
        <w:rPr>
          <w:b w:val="1"/>
          <w:sz w:val="32"/>
        </w:rPr>
        <w:t xml:space="preserve">и по вопросам профессионального </w:t>
      </w:r>
      <w:r>
        <w:rPr>
          <w:b w:val="1"/>
          <w:sz w:val="32"/>
        </w:rPr>
        <w:t>развития сотрудников контрольно-счетных органов в</w:t>
      </w:r>
      <w:r>
        <w:rPr>
          <w:b w:val="1"/>
          <w:sz w:val="32"/>
        </w:rPr>
        <w:t xml:space="preserve"> </w:t>
      </w:r>
      <w:r>
        <w:rPr>
          <w:b w:val="1"/>
          <w:sz w:val="32"/>
        </w:rPr>
        <w:t>202</w:t>
      </w:r>
      <w:r>
        <w:rPr>
          <w:b w:val="1"/>
          <w:sz w:val="32"/>
        </w:rPr>
        <w:t>2</w:t>
      </w:r>
      <w:r>
        <w:rPr>
          <w:b w:val="1"/>
          <w:sz w:val="32"/>
        </w:rPr>
        <w:t xml:space="preserve"> год</w:t>
      </w:r>
      <w:r>
        <w:rPr>
          <w:b w:val="1"/>
          <w:sz w:val="32"/>
        </w:rPr>
        <w:t>у</w:t>
      </w:r>
    </w:p>
    <w:p w14:paraId="07000000">
      <w:pPr>
        <w:widowControl w:val="1"/>
        <w:tabs>
          <w:tab w:leader="none" w:pos="900" w:val="left"/>
        </w:tabs>
        <w:ind w:firstLine="720"/>
        <w:jc w:val="both"/>
        <w:rPr>
          <w:b w:val="1"/>
          <w:sz w:val="32"/>
        </w:rPr>
      </w:pPr>
    </w:p>
    <w:p w14:paraId="08000000">
      <w:pPr>
        <w:widowControl w:val="1"/>
        <w:ind w:firstLine="709"/>
        <w:rPr>
          <w:sz w:val="32"/>
        </w:rPr>
      </w:pPr>
    </w:p>
    <w:p w14:paraId="09000000">
      <w:pPr>
        <w:widowControl w:val="1"/>
        <w:ind w:firstLine="709"/>
        <w:rPr>
          <w:sz w:val="32"/>
        </w:rPr>
      </w:pPr>
      <w:r>
        <w:rPr>
          <w:sz w:val="32"/>
        </w:rPr>
        <w:t>Добрый день</w:t>
      </w:r>
      <w:r>
        <w:rPr>
          <w:sz w:val="32"/>
        </w:rPr>
        <w:t>,</w:t>
      </w:r>
      <w:r>
        <w:rPr>
          <w:sz w:val="32"/>
        </w:rPr>
        <w:t xml:space="preserve"> уважаемые коллеги!</w:t>
      </w:r>
    </w:p>
    <w:p w14:paraId="0A000000">
      <w:pPr>
        <w:widowControl w:val="1"/>
        <w:ind/>
        <w:jc w:val="center"/>
        <w:rPr>
          <w:sz w:val="32"/>
        </w:rPr>
      </w:pPr>
    </w:p>
    <w:p w14:paraId="0B000000">
      <w:pPr>
        <w:widowControl w:val="1"/>
        <w:ind w:firstLine="708" w:left="-142"/>
        <w:jc w:val="both"/>
        <w:rPr>
          <w:sz w:val="32"/>
        </w:rPr>
      </w:pPr>
      <w:r>
        <w:rPr>
          <w:sz w:val="32"/>
        </w:rPr>
        <w:t>В 202</w:t>
      </w:r>
      <w:r>
        <w:rPr>
          <w:sz w:val="32"/>
        </w:rPr>
        <w:t>2</w:t>
      </w:r>
      <w:r>
        <w:rPr>
          <w:sz w:val="32"/>
        </w:rPr>
        <w:t xml:space="preserve"> год</w:t>
      </w:r>
      <w:r>
        <w:rPr>
          <w:sz w:val="32"/>
        </w:rPr>
        <w:t>у</w:t>
      </w:r>
      <w:r>
        <w:rPr>
          <w:sz w:val="32"/>
        </w:rPr>
        <w:t xml:space="preserve"> Комиссия работала во взаимодействии со Счетной палатой Российской Федерации, отделени</w:t>
      </w:r>
      <w:r>
        <w:rPr>
          <w:sz w:val="32"/>
        </w:rPr>
        <w:t>ями</w:t>
      </w:r>
      <w:r>
        <w:rPr>
          <w:sz w:val="32"/>
        </w:rPr>
        <w:t xml:space="preserve"> и комисси</w:t>
      </w:r>
      <w:r>
        <w:rPr>
          <w:sz w:val="32"/>
        </w:rPr>
        <w:t>ями</w:t>
      </w:r>
      <w:r>
        <w:rPr>
          <w:sz w:val="32"/>
        </w:rPr>
        <w:t xml:space="preserve"> Совета контрольно-счетных органов при Счетн</w:t>
      </w:r>
      <w:r>
        <w:rPr>
          <w:sz w:val="32"/>
        </w:rPr>
        <w:t>ой палате Российской Федерации</w:t>
      </w:r>
      <w:r>
        <w:rPr>
          <w:sz w:val="32"/>
        </w:rPr>
        <w:t>.</w:t>
      </w:r>
    </w:p>
    <w:p w14:paraId="0C000000">
      <w:pPr>
        <w:widowControl w:val="1"/>
        <w:ind w:firstLine="851" w:left="-142"/>
        <w:jc w:val="both"/>
        <w:rPr>
          <w:sz w:val="32"/>
        </w:rPr>
      </w:pPr>
      <w:r>
        <w:rPr>
          <w:sz w:val="32"/>
        </w:rPr>
        <w:t xml:space="preserve">В отчетном периоде </w:t>
      </w:r>
      <w:r>
        <w:rPr>
          <w:sz w:val="32"/>
        </w:rPr>
        <w:t xml:space="preserve">плановые </w:t>
      </w:r>
      <w:r>
        <w:rPr>
          <w:sz w:val="32"/>
        </w:rPr>
        <w:t>м</w:t>
      </w:r>
      <w:r>
        <w:rPr>
          <w:sz w:val="32"/>
        </w:rPr>
        <w:t>ероприятия Комиссии и Совета выполнены, их результаты рассмотрены на заседани</w:t>
      </w:r>
      <w:r>
        <w:rPr>
          <w:sz w:val="32"/>
        </w:rPr>
        <w:t>ях</w:t>
      </w:r>
      <w:r>
        <w:rPr>
          <w:sz w:val="32"/>
        </w:rPr>
        <w:t xml:space="preserve"> Комиссии.</w:t>
      </w:r>
    </w:p>
    <w:p w14:paraId="0D000000">
      <w:pPr>
        <w:widowControl w:val="1"/>
        <w:ind w:firstLine="709"/>
        <w:jc w:val="both"/>
        <w:rPr>
          <w:sz w:val="32"/>
        </w:rPr>
      </w:pPr>
      <w:r>
        <w:rPr>
          <w:sz w:val="32"/>
        </w:rPr>
        <w:t xml:space="preserve">В целях подготовки </w:t>
      </w:r>
      <w:r>
        <w:rPr>
          <w:sz w:val="32"/>
        </w:rPr>
        <w:t>образовательного курса для</w:t>
      </w:r>
      <w:r>
        <w:rPr>
          <w:sz w:val="32"/>
        </w:rPr>
        <w:t xml:space="preserve"> размещения на образовательной платформе Счетной палаты Российской Федерации проведен опрос контрольно-счетных органов, по итогам которого установлены наиболее актуальные </w:t>
      </w:r>
      <w:r>
        <w:rPr>
          <w:sz w:val="32"/>
        </w:rPr>
        <w:t>темы, а также проанализированы предложения о возможных спикерах курса.</w:t>
      </w:r>
    </w:p>
    <w:p w14:paraId="0E000000">
      <w:pPr>
        <w:widowControl w:val="1"/>
        <w:ind w:firstLine="709"/>
        <w:jc w:val="both"/>
        <w:rPr>
          <w:sz w:val="32"/>
        </w:rPr>
      </w:pPr>
      <w:r>
        <w:rPr>
          <w:sz w:val="32"/>
        </w:rPr>
        <w:t xml:space="preserve">Всего в Комиссию поступила информация </w:t>
      </w:r>
      <w:r>
        <w:rPr>
          <w:sz w:val="32"/>
        </w:rPr>
        <w:t xml:space="preserve">из </w:t>
      </w:r>
      <w:r>
        <w:rPr>
          <w:sz w:val="32"/>
        </w:rPr>
        <w:t>52 КСО</w:t>
      </w:r>
      <w:r>
        <w:rPr>
          <w:sz w:val="32"/>
        </w:rPr>
        <w:t xml:space="preserve">, которые предложили </w:t>
      </w:r>
      <w:r>
        <w:rPr>
          <w:sz w:val="32"/>
        </w:rPr>
        <w:t>168</w:t>
      </w:r>
      <w:r>
        <w:rPr>
          <w:sz w:val="32"/>
        </w:rPr>
        <w:t xml:space="preserve"> актуальных </w:t>
      </w:r>
      <w:r>
        <w:rPr>
          <w:sz w:val="32"/>
        </w:rPr>
        <w:t>вопросов</w:t>
      </w:r>
      <w:r>
        <w:rPr>
          <w:sz w:val="32"/>
        </w:rPr>
        <w:t>.</w:t>
      </w:r>
    </w:p>
    <w:p w14:paraId="0F000000">
      <w:pPr>
        <w:widowControl w:val="1"/>
        <w:ind w:firstLine="709"/>
        <w:jc w:val="both"/>
        <w:rPr>
          <w:sz w:val="32"/>
        </w:rPr>
      </w:pPr>
      <w:r>
        <w:rPr>
          <w:sz w:val="32"/>
        </w:rPr>
        <w:t xml:space="preserve">Исходя из самых востребованных, выбрана тема образовательного курса - </w:t>
      </w:r>
      <w:r>
        <w:rPr>
          <w:sz w:val="32"/>
        </w:rPr>
        <w:t>«К</w:t>
      </w:r>
      <w:r>
        <w:rPr>
          <w:color w:val="000000"/>
          <w:sz w:val="32"/>
        </w:rPr>
        <w:t>онтроль за формированием и осуществлением бюджетных инвестиций и капитальных вложений. Строительный контроль, проектно-сметная документация</w:t>
      </w:r>
      <w:r>
        <w:rPr>
          <w:color w:val="000000"/>
          <w:sz w:val="32"/>
        </w:rPr>
        <w:t>»</w:t>
      </w:r>
      <w:r>
        <w:rPr>
          <w:color w:val="000000"/>
          <w:sz w:val="32"/>
        </w:rPr>
        <w:t>.</w:t>
      </w:r>
    </w:p>
    <w:p w14:paraId="10000000">
      <w:pPr>
        <w:pStyle w:val="Style_3"/>
        <w:widowControl w:val="1"/>
        <w:tabs>
          <w:tab w:leader="none" w:pos="1845" w:val="left"/>
        </w:tabs>
        <w:ind w:firstLine="72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color w:val="000000"/>
          <w:sz w:val="32"/>
        </w:rPr>
        <w:t xml:space="preserve">Большинство предложений о спикерах </w:t>
      </w:r>
      <w:r>
        <w:rPr>
          <w:rFonts w:ascii="Times New Roman" w:hAnsi="Times New Roman"/>
          <w:color w:val="000000"/>
          <w:sz w:val="32"/>
        </w:rPr>
        <w:t xml:space="preserve">приходится на </w:t>
      </w:r>
      <w:r>
        <w:rPr>
          <w:rFonts w:ascii="Times New Roman" w:hAnsi="Times New Roman"/>
          <w:sz w:val="32"/>
        </w:rPr>
        <w:t>сотрудников Счетной палаты Российской Федерации и сотрудников КСО</w:t>
      </w:r>
      <w:r>
        <w:rPr>
          <w:rFonts w:ascii="Times New Roman" w:hAnsi="Times New Roman"/>
          <w:sz w:val="32"/>
        </w:rPr>
        <w:t>,</w:t>
      </w:r>
      <w:r>
        <w:rPr>
          <w:rFonts w:ascii="Times New Roman" w:hAnsi="Times New Roman"/>
          <w:sz w:val="32"/>
        </w:rPr>
        <w:t xml:space="preserve"> имеющих </w:t>
      </w:r>
      <w:r>
        <w:rPr>
          <w:rFonts w:ascii="Times New Roman" w:hAnsi="Times New Roman"/>
          <w:sz w:val="32"/>
        </w:rPr>
        <w:t xml:space="preserve">практический </w:t>
      </w:r>
      <w:r>
        <w:rPr>
          <w:rFonts w:ascii="Times New Roman" w:hAnsi="Times New Roman"/>
          <w:sz w:val="32"/>
        </w:rPr>
        <w:t>положительны</w:t>
      </w:r>
      <w:r>
        <w:rPr>
          <w:rFonts w:ascii="Times New Roman" w:hAnsi="Times New Roman"/>
          <w:sz w:val="32"/>
        </w:rPr>
        <w:t>й</w:t>
      </w: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sz w:val="32"/>
        </w:rPr>
        <w:t xml:space="preserve">опыт </w:t>
      </w:r>
      <w:r>
        <w:rPr>
          <w:rFonts w:ascii="Times New Roman" w:hAnsi="Times New Roman"/>
          <w:sz w:val="32"/>
        </w:rPr>
        <w:t>в соответствующих направлениях.</w:t>
      </w:r>
    </w:p>
    <w:p w14:paraId="11000000">
      <w:pPr>
        <w:widowControl w:val="1"/>
        <w:ind w:firstLine="709"/>
        <w:jc w:val="both"/>
        <w:rPr>
          <w:sz w:val="32"/>
        </w:rPr>
      </w:pPr>
      <w:r>
        <w:rPr>
          <w:sz w:val="32"/>
        </w:rPr>
        <w:t xml:space="preserve">В поисках </w:t>
      </w:r>
      <w:r>
        <w:rPr>
          <w:sz w:val="32"/>
        </w:rPr>
        <w:t>интересных</w:t>
      </w:r>
      <w:r>
        <w:rPr>
          <w:sz w:val="32"/>
        </w:rPr>
        <w:t xml:space="preserve"> практик по теме курса, ч</w:t>
      </w:r>
      <w:r>
        <w:rPr>
          <w:sz w:val="32"/>
        </w:rPr>
        <w:t xml:space="preserve">лены комиссии проанализировали </w:t>
      </w:r>
      <w:r>
        <w:rPr>
          <w:sz w:val="32"/>
        </w:rPr>
        <w:t xml:space="preserve">опыт </w:t>
      </w:r>
      <w:r>
        <w:rPr>
          <w:sz w:val="32"/>
        </w:rPr>
        <w:t xml:space="preserve">контрольно-счетных органов в своих федеральных округах, </w:t>
      </w:r>
      <w:r>
        <w:rPr>
          <w:sz w:val="32"/>
        </w:rPr>
        <w:t xml:space="preserve">и </w:t>
      </w:r>
      <w:r>
        <w:rPr>
          <w:sz w:val="32"/>
        </w:rPr>
        <w:t xml:space="preserve">внесли </w:t>
      </w:r>
      <w:r>
        <w:rPr>
          <w:sz w:val="32"/>
        </w:rPr>
        <w:t>предложения</w:t>
      </w:r>
      <w:r>
        <w:rPr>
          <w:sz w:val="32"/>
        </w:rPr>
        <w:t xml:space="preserve"> о приглашении сотрудников контрольно-счетных о</w:t>
      </w:r>
      <w:r>
        <w:rPr>
          <w:sz w:val="32"/>
        </w:rPr>
        <w:t>рганов в качестве спикеров</w:t>
      </w:r>
      <w:r>
        <w:rPr>
          <w:sz w:val="32"/>
        </w:rPr>
        <w:t xml:space="preserve">. </w:t>
      </w:r>
    </w:p>
    <w:p w14:paraId="12000000">
      <w:pPr>
        <w:widowControl w:val="1"/>
        <w:ind w:firstLine="709"/>
        <w:jc w:val="both"/>
        <w:rPr>
          <w:sz w:val="32"/>
        </w:rPr>
      </w:pPr>
      <w:r>
        <w:rPr>
          <w:sz w:val="32"/>
        </w:rPr>
        <w:t>В результате в п</w:t>
      </w:r>
      <w:r>
        <w:rPr>
          <w:sz w:val="32"/>
        </w:rPr>
        <w:t>рограмм</w:t>
      </w:r>
      <w:r>
        <w:rPr>
          <w:sz w:val="32"/>
        </w:rPr>
        <w:t>у</w:t>
      </w:r>
      <w:r>
        <w:rPr>
          <w:sz w:val="32"/>
        </w:rPr>
        <w:t xml:space="preserve"> курса </w:t>
      </w:r>
      <w:r>
        <w:rPr>
          <w:sz w:val="32"/>
        </w:rPr>
        <w:t xml:space="preserve">вошло </w:t>
      </w:r>
      <w:r>
        <w:rPr>
          <w:sz w:val="32"/>
        </w:rPr>
        <w:t>6 тем, по которым выступили 7 сотрудников из КСО субъектов РФ</w:t>
      </w:r>
      <w:r>
        <w:rPr>
          <w:sz w:val="32"/>
        </w:rPr>
        <w:t xml:space="preserve">. </w:t>
      </w:r>
    </w:p>
    <w:p w14:paraId="13000000">
      <w:pPr>
        <w:widowControl w:val="1"/>
        <w:ind w:firstLine="709"/>
        <w:jc w:val="both"/>
        <w:rPr>
          <w:sz w:val="32"/>
        </w:rPr>
      </w:pPr>
      <w:r>
        <w:rPr>
          <w:sz w:val="32"/>
        </w:rPr>
        <w:t xml:space="preserve">В ближайшее время курс </w:t>
      </w:r>
      <w:r>
        <w:rPr>
          <w:sz w:val="32"/>
        </w:rPr>
        <w:t>появится</w:t>
      </w:r>
      <w:r>
        <w:rPr>
          <w:sz w:val="32"/>
        </w:rPr>
        <w:t xml:space="preserve"> </w:t>
      </w:r>
      <w:r>
        <w:rPr>
          <w:sz w:val="32"/>
        </w:rPr>
        <w:t xml:space="preserve">на образовательной платформе Счетной палаты </w:t>
      </w:r>
      <w:r>
        <w:rPr>
          <w:sz w:val="32"/>
        </w:rPr>
        <w:t>Р</w:t>
      </w:r>
      <w:r>
        <w:rPr>
          <w:sz w:val="32"/>
        </w:rPr>
        <w:t xml:space="preserve">оссийской </w:t>
      </w:r>
      <w:r>
        <w:rPr>
          <w:sz w:val="32"/>
        </w:rPr>
        <w:t>Ф</w:t>
      </w:r>
      <w:r>
        <w:rPr>
          <w:sz w:val="32"/>
        </w:rPr>
        <w:t>едерации</w:t>
      </w:r>
      <w:r>
        <w:rPr>
          <w:sz w:val="32"/>
        </w:rPr>
        <w:t xml:space="preserve"> и контрольно-счетных органов</w:t>
      </w:r>
      <w:r>
        <w:rPr>
          <w:sz w:val="32"/>
        </w:rPr>
        <w:t>.</w:t>
      </w:r>
    </w:p>
    <w:p w14:paraId="14000000">
      <w:pPr>
        <w:pStyle w:val="Style_4"/>
        <w:widowControl w:val="1"/>
        <w:ind w:firstLine="720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 xml:space="preserve">В завершение этого вопроса отмечу, что образовательной платформе </w:t>
      </w:r>
      <w:r>
        <w:rPr>
          <w:rFonts w:ascii="Times New Roman" w:hAnsi="Times New Roman"/>
          <w:color w:val="000000"/>
          <w:sz w:val="32"/>
        </w:rPr>
        <w:t xml:space="preserve">уже более </w:t>
      </w:r>
      <w:r>
        <w:rPr>
          <w:rFonts w:ascii="Times New Roman" w:hAnsi="Times New Roman"/>
          <w:color w:val="000000"/>
          <w:sz w:val="32"/>
        </w:rPr>
        <w:t>год</w:t>
      </w:r>
      <w:r>
        <w:rPr>
          <w:rFonts w:ascii="Times New Roman" w:hAnsi="Times New Roman"/>
          <w:color w:val="000000"/>
          <w:sz w:val="32"/>
        </w:rPr>
        <w:t>а</w:t>
      </w:r>
      <w:r>
        <w:rPr>
          <w:rFonts w:ascii="Times New Roman" w:hAnsi="Times New Roman"/>
          <w:color w:val="000000"/>
          <w:sz w:val="32"/>
        </w:rPr>
        <w:t xml:space="preserve">. В </w:t>
      </w:r>
      <w:r>
        <w:rPr>
          <w:rFonts w:ascii="Times New Roman" w:hAnsi="Times New Roman"/>
          <w:color w:val="000000"/>
          <w:sz w:val="32"/>
        </w:rPr>
        <w:t xml:space="preserve">прошлом </w:t>
      </w:r>
      <w:r>
        <w:rPr>
          <w:rFonts w:ascii="Times New Roman" w:hAnsi="Times New Roman"/>
          <w:color w:val="000000"/>
          <w:sz w:val="32"/>
        </w:rPr>
        <w:t>году Комиссия работала над первым пилотным курсом</w:t>
      </w:r>
      <w:r>
        <w:rPr>
          <w:rFonts w:ascii="Times New Roman" w:hAnsi="Times New Roman"/>
          <w:color w:val="000000"/>
          <w:sz w:val="32"/>
        </w:rPr>
        <w:t xml:space="preserve"> для платформы</w:t>
      </w:r>
      <w:r>
        <w:rPr>
          <w:rFonts w:ascii="Times New Roman" w:hAnsi="Times New Roman"/>
          <w:color w:val="000000"/>
          <w:sz w:val="32"/>
        </w:rPr>
        <w:t xml:space="preserve">, а сегодня </w:t>
      </w:r>
      <w:r>
        <w:rPr>
          <w:rFonts w:ascii="Times New Roman" w:hAnsi="Times New Roman"/>
          <w:color w:val="000000"/>
          <w:sz w:val="32"/>
        </w:rPr>
        <w:t>она содержит более двадцати разделов, которые продолжают пополняться.</w:t>
      </w:r>
    </w:p>
    <w:p w14:paraId="15000000">
      <w:pPr>
        <w:pStyle w:val="Style_4"/>
        <w:widowControl w:val="1"/>
        <w:ind w:firstLine="720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 xml:space="preserve">В прошлом году </w:t>
      </w:r>
      <w:r>
        <w:rPr>
          <w:rFonts w:ascii="Times New Roman" w:hAnsi="Times New Roman"/>
          <w:color w:val="000000"/>
          <w:sz w:val="32"/>
        </w:rPr>
        <w:t>решением Президиума утверждено Положение о конкурсе</w:t>
      </w:r>
      <w:r>
        <w:rPr>
          <w:rFonts w:ascii="Times New Roman" w:hAnsi="Times New Roman"/>
          <w:color w:val="000000"/>
          <w:sz w:val="32"/>
        </w:rPr>
        <w:t xml:space="preserve"> </w:t>
      </w:r>
      <w:r>
        <w:rPr>
          <w:rFonts w:ascii="Times New Roman" w:hAnsi="Times New Roman"/>
          <w:color w:val="000000"/>
          <w:sz w:val="32"/>
        </w:rPr>
        <w:t xml:space="preserve">Совета «Лучший финансовый </w:t>
      </w:r>
      <w:r>
        <w:rPr>
          <w:rFonts w:ascii="Times New Roman" w:hAnsi="Times New Roman"/>
          <w:color w:val="000000"/>
          <w:sz w:val="32"/>
        </w:rPr>
        <w:t>контролер Российской Федерации»</w:t>
      </w:r>
      <w:r>
        <w:rPr>
          <w:rFonts w:ascii="Times New Roman" w:hAnsi="Times New Roman"/>
          <w:color w:val="000000"/>
          <w:sz w:val="32"/>
        </w:rPr>
        <w:t>.</w:t>
      </w:r>
    </w:p>
    <w:p w14:paraId="16000000">
      <w:pPr>
        <w:pStyle w:val="Style_4"/>
        <w:widowControl w:val="1"/>
        <w:ind w:firstLine="720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 xml:space="preserve">В </w:t>
      </w:r>
      <w:r>
        <w:rPr>
          <w:rFonts w:ascii="Times New Roman" w:hAnsi="Times New Roman"/>
          <w:color w:val="000000"/>
          <w:sz w:val="32"/>
        </w:rPr>
        <w:t>этом году</w:t>
      </w:r>
      <w:r>
        <w:rPr>
          <w:rFonts w:ascii="Times New Roman" w:hAnsi="Times New Roman"/>
          <w:color w:val="000000"/>
          <w:sz w:val="32"/>
        </w:rPr>
        <w:t xml:space="preserve"> </w:t>
      </w:r>
      <w:r>
        <w:rPr>
          <w:rFonts w:ascii="Times New Roman" w:hAnsi="Times New Roman"/>
          <w:color w:val="000000"/>
          <w:sz w:val="32"/>
        </w:rPr>
        <w:t xml:space="preserve">состоялся </w:t>
      </w:r>
      <w:r>
        <w:rPr>
          <w:rFonts w:ascii="Times New Roman" w:hAnsi="Times New Roman"/>
          <w:color w:val="000000"/>
          <w:sz w:val="32"/>
        </w:rPr>
        <w:t xml:space="preserve">запуск пилотного проекта </w:t>
      </w:r>
      <w:r>
        <w:rPr>
          <w:rFonts w:ascii="Times New Roman" w:hAnsi="Times New Roman"/>
          <w:color w:val="000000"/>
          <w:sz w:val="32"/>
        </w:rPr>
        <w:t>К</w:t>
      </w:r>
      <w:r>
        <w:rPr>
          <w:rFonts w:ascii="Times New Roman" w:hAnsi="Times New Roman"/>
          <w:color w:val="000000"/>
          <w:sz w:val="32"/>
        </w:rPr>
        <w:t>онкурса</w:t>
      </w:r>
      <w:r>
        <w:rPr>
          <w:rFonts w:ascii="Times New Roman" w:hAnsi="Times New Roman"/>
          <w:color w:val="000000"/>
          <w:sz w:val="32"/>
        </w:rPr>
        <w:t>.</w:t>
      </w:r>
    </w:p>
    <w:p w14:paraId="17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>Первый этап пров</w:t>
      </w:r>
      <w:r>
        <w:rPr>
          <w:sz w:val="32"/>
        </w:rPr>
        <w:t>е</w:t>
      </w:r>
      <w:r>
        <w:rPr>
          <w:sz w:val="32"/>
        </w:rPr>
        <w:t>д</w:t>
      </w:r>
      <w:r>
        <w:rPr>
          <w:sz w:val="32"/>
        </w:rPr>
        <w:t xml:space="preserve">ен </w:t>
      </w:r>
      <w:r>
        <w:rPr>
          <w:sz w:val="32"/>
        </w:rPr>
        <w:t>среди сотрудников контрольно-счетных органов субъектов Российской Федерации в каждом федеральном округе.</w:t>
      </w:r>
    </w:p>
    <w:p w14:paraId="18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 xml:space="preserve">Для участия в </w:t>
      </w:r>
      <w:r>
        <w:rPr>
          <w:sz w:val="32"/>
        </w:rPr>
        <w:t>нем</w:t>
      </w:r>
      <w:r>
        <w:rPr>
          <w:sz w:val="32"/>
        </w:rPr>
        <w:t xml:space="preserve"> поступило 70 конкурсных материалов</w:t>
      </w:r>
      <w:r>
        <w:rPr>
          <w:sz w:val="32"/>
        </w:rPr>
        <w:t xml:space="preserve"> из 49</w:t>
      </w:r>
      <w:r>
        <w:rPr>
          <w:sz w:val="32"/>
        </w:rPr>
        <w:t>-ти</w:t>
      </w:r>
      <w:r>
        <w:rPr>
          <w:sz w:val="32"/>
        </w:rPr>
        <w:t xml:space="preserve"> палат, </w:t>
      </w:r>
      <w:r>
        <w:rPr>
          <w:sz w:val="32"/>
        </w:rPr>
        <w:t xml:space="preserve">из них по номинациям: </w:t>
      </w:r>
    </w:p>
    <w:p w14:paraId="19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>- </w:t>
      </w:r>
      <w:r>
        <w:rPr>
          <w:sz w:val="32"/>
        </w:rPr>
        <w:t xml:space="preserve">«Лучшее контрольное мероприятие» – 40 материалов; </w:t>
      </w:r>
    </w:p>
    <w:p w14:paraId="1A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>- </w:t>
      </w:r>
      <w:r>
        <w:rPr>
          <w:sz w:val="32"/>
        </w:rPr>
        <w:t>«Лучшее экспертно-аналитическое мероприятие» – 30</w:t>
      </w:r>
      <w:r>
        <w:rPr>
          <w:sz w:val="32"/>
        </w:rPr>
        <w:t xml:space="preserve"> </w:t>
      </w:r>
      <w:r>
        <w:rPr>
          <w:sz w:val="32"/>
        </w:rPr>
        <w:t>материалов.</w:t>
      </w:r>
    </w:p>
    <w:p w14:paraId="1B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>Подробн</w:t>
      </w:r>
      <w:r>
        <w:rPr>
          <w:sz w:val="32"/>
        </w:rPr>
        <w:t>ая</w:t>
      </w:r>
      <w:r>
        <w:rPr>
          <w:sz w:val="32"/>
        </w:rPr>
        <w:t xml:space="preserve"> информация о проведении Конкурса содержится в отчете о работе комиссии, поэтому кратко отмечу основные моменты.</w:t>
      </w:r>
    </w:p>
    <w:p w14:paraId="1C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>Для оценки конкурсных материалов в каждом федеральном округе была создана конкурсная комиссия из представителей всех контрольно-счетных органов федерального округа</w:t>
      </w:r>
      <w:r>
        <w:rPr>
          <w:sz w:val="32"/>
        </w:rPr>
        <w:t>.</w:t>
      </w:r>
    </w:p>
    <w:p w14:paraId="1D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 xml:space="preserve">По итогам работы конкурсных комиссий определены победители </w:t>
      </w:r>
      <w:r>
        <w:rPr>
          <w:sz w:val="32"/>
        </w:rPr>
        <w:t>первого</w:t>
      </w:r>
      <w:r>
        <w:rPr>
          <w:sz w:val="32"/>
        </w:rPr>
        <w:t xml:space="preserve"> этапа Конкурса, которые отмечены дипломами </w:t>
      </w:r>
      <w:r>
        <w:rPr>
          <w:sz w:val="32"/>
        </w:rPr>
        <w:t>1-ой</w:t>
      </w:r>
      <w:r>
        <w:rPr>
          <w:sz w:val="32"/>
        </w:rPr>
        <w:t xml:space="preserve">, </w:t>
      </w:r>
      <w:r>
        <w:rPr>
          <w:sz w:val="32"/>
        </w:rPr>
        <w:t>2-ой</w:t>
      </w:r>
      <w:r>
        <w:rPr>
          <w:sz w:val="32"/>
        </w:rPr>
        <w:t xml:space="preserve">, </w:t>
      </w:r>
      <w:r>
        <w:rPr>
          <w:sz w:val="32"/>
        </w:rPr>
        <w:t xml:space="preserve">3-ей </w:t>
      </w:r>
      <w:r>
        <w:rPr>
          <w:sz w:val="32"/>
        </w:rPr>
        <w:t xml:space="preserve">степени. </w:t>
      </w:r>
    </w:p>
    <w:p w14:paraId="1E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>Второй этап Конкурса (финальный) проводи</w:t>
      </w:r>
      <w:r>
        <w:rPr>
          <w:sz w:val="32"/>
        </w:rPr>
        <w:t>л</w:t>
      </w:r>
      <w:r>
        <w:rPr>
          <w:sz w:val="32"/>
        </w:rPr>
        <w:t xml:space="preserve">ся среди </w:t>
      </w:r>
      <w:r>
        <w:rPr>
          <w:sz w:val="32"/>
        </w:rPr>
        <w:t>победителей первого</w:t>
      </w:r>
      <w:r>
        <w:rPr>
          <w:sz w:val="32"/>
        </w:rPr>
        <w:t xml:space="preserve"> этапа Конкурса</w:t>
      </w:r>
      <w:r>
        <w:rPr>
          <w:sz w:val="32"/>
        </w:rPr>
        <w:t xml:space="preserve">, </w:t>
      </w:r>
      <w:r>
        <w:rPr>
          <w:sz w:val="32"/>
        </w:rPr>
        <w:t xml:space="preserve">занявших первые места в </w:t>
      </w:r>
      <w:r>
        <w:rPr>
          <w:sz w:val="32"/>
        </w:rPr>
        <w:t xml:space="preserve">своих </w:t>
      </w:r>
      <w:r>
        <w:rPr>
          <w:sz w:val="32"/>
        </w:rPr>
        <w:t>федеральн</w:t>
      </w:r>
      <w:r>
        <w:rPr>
          <w:sz w:val="32"/>
        </w:rPr>
        <w:t>ых округах.</w:t>
      </w:r>
    </w:p>
    <w:p w14:paraId="1F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 xml:space="preserve">В состав конкурсной комиссии </w:t>
      </w:r>
      <w:r>
        <w:rPr>
          <w:sz w:val="32"/>
        </w:rPr>
        <w:t xml:space="preserve">финального этапа </w:t>
      </w:r>
      <w:r>
        <w:rPr>
          <w:sz w:val="32"/>
        </w:rPr>
        <w:t xml:space="preserve">вошли все председатели отделений Совета контрольно-счетных органов при Счетной палате </w:t>
      </w:r>
      <w:r>
        <w:rPr>
          <w:sz w:val="32"/>
        </w:rPr>
        <w:t>Р</w:t>
      </w:r>
      <w:r>
        <w:rPr>
          <w:sz w:val="32"/>
        </w:rPr>
        <w:t>оссийской Федерации</w:t>
      </w:r>
      <w:r>
        <w:rPr>
          <w:sz w:val="32"/>
        </w:rPr>
        <w:t xml:space="preserve">, а возглавил комиссию </w:t>
      </w:r>
      <w:r>
        <w:rPr>
          <w:sz w:val="32"/>
        </w:rPr>
        <w:t>заместител</w:t>
      </w:r>
      <w:r>
        <w:rPr>
          <w:sz w:val="32"/>
        </w:rPr>
        <w:t>ь</w:t>
      </w:r>
      <w:r>
        <w:rPr>
          <w:sz w:val="32"/>
        </w:rPr>
        <w:t xml:space="preserve"> руководителя аппарата Счетной палаты Российской Федерации</w:t>
      </w:r>
      <w:r>
        <w:rPr>
          <w:sz w:val="32"/>
        </w:rPr>
        <w:t xml:space="preserve">. </w:t>
      </w:r>
    </w:p>
    <w:p w14:paraId="20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 xml:space="preserve">После того, как все члены комиссии завершили оценку конкурсных материалов, все оценки были обобщены и направлены председателю конкурсной комиссии. </w:t>
      </w:r>
    </w:p>
    <w:p w14:paraId="21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 xml:space="preserve">Несмотря на то, что это </w:t>
      </w:r>
      <w:r>
        <w:rPr>
          <w:sz w:val="32"/>
        </w:rPr>
        <w:t xml:space="preserve">только </w:t>
      </w:r>
      <w:r>
        <w:rPr>
          <w:sz w:val="32"/>
        </w:rPr>
        <w:t xml:space="preserve">пилотный проект, стоит отметить высокий уровень активности КСО, как со стороны участников </w:t>
      </w:r>
      <w:r>
        <w:rPr>
          <w:sz w:val="32"/>
        </w:rPr>
        <w:t>К</w:t>
      </w:r>
      <w:r>
        <w:rPr>
          <w:sz w:val="32"/>
        </w:rPr>
        <w:t>онкурса, так и со стороны членов комиссии.</w:t>
      </w:r>
    </w:p>
    <w:p w14:paraId="22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>В финальном этапе конкурса - в номинации «Лучшее контрольное мероприятие»</w:t>
      </w:r>
      <w:r>
        <w:rPr>
          <w:sz w:val="32"/>
        </w:rPr>
        <w:t xml:space="preserve"> - развернулась настоящая борьба. У</w:t>
      </w:r>
      <w:r>
        <w:rPr>
          <w:sz w:val="32"/>
        </w:rPr>
        <w:t xml:space="preserve">частники двигались с минимальным отрывом и по итогам </w:t>
      </w:r>
      <w:r>
        <w:rPr>
          <w:sz w:val="32"/>
        </w:rPr>
        <w:t>3</w:t>
      </w:r>
      <w:r>
        <w:rPr>
          <w:sz w:val="32"/>
        </w:rPr>
        <w:t xml:space="preserve"> конкурсанта разделили почетное третье место, набрав одинаковое количество баллов</w:t>
      </w:r>
      <w:r>
        <w:rPr>
          <w:sz w:val="32"/>
        </w:rPr>
        <w:t>.</w:t>
      </w:r>
    </w:p>
    <w:p w14:paraId="23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>П</w:t>
      </w:r>
      <w:r>
        <w:rPr>
          <w:sz w:val="32"/>
        </w:rPr>
        <w:t xml:space="preserve">илотный проект </w:t>
      </w:r>
      <w:r>
        <w:rPr>
          <w:sz w:val="32"/>
        </w:rPr>
        <w:t>К</w:t>
      </w:r>
      <w:r>
        <w:rPr>
          <w:sz w:val="32"/>
        </w:rPr>
        <w:t xml:space="preserve">онкурса Совета «Лучший финансовый контролер Российской Федерации» реализован успешно, задачи и цели выполнены. </w:t>
      </w:r>
    </w:p>
    <w:p w14:paraId="24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>Сегодня</w:t>
      </w:r>
      <w:r>
        <w:rPr>
          <w:sz w:val="32"/>
        </w:rPr>
        <w:t xml:space="preserve"> идет подготовка к п</w:t>
      </w:r>
      <w:r>
        <w:rPr>
          <w:sz w:val="32"/>
        </w:rPr>
        <w:t xml:space="preserve">роведению </w:t>
      </w:r>
      <w:r>
        <w:rPr>
          <w:sz w:val="32"/>
        </w:rPr>
        <w:t>К</w:t>
      </w:r>
      <w:r>
        <w:rPr>
          <w:sz w:val="32"/>
        </w:rPr>
        <w:t>онкурса в новом году.</w:t>
      </w:r>
      <w:r>
        <w:rPr>
          <w:sz w:val="32"/>
        </w:rPr>
        <w:t xml:space="preserve"> В целях </w:t>
      </w:r>
      <w:r>
        <w:rPr>
          <w:sz w:val="32"/>
        </w:rPr>
        <w:t>повышени</w:t>
      </w:r>
      <w:r>
        <w:rPr>
          <w:sz w:val="32"/>
        </w:rPr>
        <w:t>я</w:t>
      </w:r>
      <w:r>
        <w:rPr>
          <w:sz w:val="32"/>
        </w:rPr>
        <w:t xml:space="preserve"> эффективности конкурса</w:t>
      </w:r>
      <w:r>
        <w:rPr>
          <w:sz w:val="32"/>
        </w:rPr>
        <w:t xml:space="preserve"> мы провели опрос КСО, а также учли сложности, с которыми столкнулись при реализации пилотного проекта. </w:t>
      </w:r>
    </w:p>
    <w:p w14:paraId="25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>В результате подготовлены изменения в положение о Конкурсе, которые направлены на оптимизацию проведения</w:t>
      </w:r>
      <w:r>
        <w:rPr>
          <w:sz w:val="32"/>
        </w:rPr>
        <w:t>.</w:t>
      </w:r>
      <w:r>
        <w:rPr>
          <w:sz w:val="32"/>
        </w:rPr>
        <w:t xml:space="preserve"> </w:t>
      </w:r>
      <w:r>
        <w:rPr>
          <w:sz w:val="32"/>
        </w:rPr>
        <w:t>С</w:t>
      </w:r>
      <w:r>
        <w:rPr>
          <w:sz w:val="32"/>
        </w:rPr>
        <w:t>формированы составы конкурсных комиссий.</w:t>
      </w:r>
    </w:p>
    <w:p w14:paraId="26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 xml:space="preserve">В начале следующего года все КСО будут проинформированы о начале конкурса. </w:t>
      </w:r>
    </w:p>
    <w:p w14:paraId="27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>Отмечу, что Конкурс – это</w:t>
      </w:r>
      <w:r>
        <w:rPr>
          <w:sz w:val="32"/>
        </w:rPr>
        <w:t>, в первую очередь, возможность поделиться передовым опытом с коллегами, и только потом</w:t>
      </w:r>
      <w:r>
        <w:rPr>
          <w:sz w:val="32"/>
        </w:rPr>
        <w:t xml:space="preserve"> –</w:t>
      </w:r>
      <w:r>
        <w:rPr>
          <w:sz w:val="32"/>
        </w:rPr>
        <w:t xml:space="preserve"> определение призеров.</w:t>
      </w:r>
    </w:p>
    <w:p w14:paraId="28000000">
      <w:pPr>
        <w:widowControl w:val="1"/>
        <w:ind w:firstLine="720"/>
        <w:jc w:val="both"/>
        <w:rPr>
          <w:sz w:val="32"/>
        </w:rPr>
      </w:pPr>
      <w:r>
        <w:rPr>
          <w:sz w:val="32"/>
        </w:rPr>
        <w:t xml:space="preserve">Приглашаем всех принять участие в </w:t>
      </w:r>
      <w:r>
        <w:rPr>
          <w:sz w:val="32"/>
        </w:rPr>
        <w:t>К</w:t>
      </w:r>
      <w:r>
        <w:rPr>
          <w:sz w:val="32"/>
        </w:rPr>
        <w:t>онкурсе.</w:t>
      </w:r>
    </w:p>
    <w:p w14:paraId="29000000">
      <w:pPr>
        <w:widowControl w:val="1"/>
        <w:tabs>
          <w:tab w:leader="none" w:pos="0" w:val="left"/>
        </w:tabs>
        <w:ind w:firstLine="720" w:right="39"/>
        <w:jc w:val="both"/>
        <w:outlineLvl w:val="0"/>
        <w:rPr>
          <w:sz w:val="32"/>
        </w:rPr>
      </w:pPr>
      <w:r>
        <w:rPr>
          <w:sz w:val="32"/>
        </w:rPr>
        <w:t>В заключени</w:t>
      </w:r>
      <w:r>
        <w:rPr>
          <w:sz w:val="32"/>
        </w:rPr>
        <w:t>е</w:t>
      </w:r>
      <w:r>
        <w:rPr>
          <w:sz w:val="32"/>
        </w:rPr>
        <w:t xml:space="preserve"> выступления, </w:t>
      </w:r>
      <w:r>
        <w:rPr>
          <w:sz w:val="32"/>
        </w:rPr>
        <w:t>хочу</w:t>
      </w:r>
      <w:r>
        <w:rPr>
          <w:sz w:val="32"/>
        </w:rPr>
        <w:t xml:space="preserve"> поблагодарить </w:t>
      </w:r>
      <w:r>
        <w:rPr>
          <w:sz w:val="32"/>
        </w:rPr>
        <w:t>руководство Счетной палаты</w:t>
      </w:r>
      <w:r>
        <w:rPr>
          <w:sz w:val="32"/>
        </w:rPr>
        <w:t xml:space="preserve">, </w:t>
      </w:r>
      <w:r>
        <w:rPr>
          <w:sz w:val="32"/>
        </w:rPr>
        <w:t>Департамент международного и регионального сотрудничества</w:t>
      </w:r>
      <w:r>
        <w:rPr>
          <w:sz w:val="32"/>
        </w:rPr>
        <w:t xml:space="preserve">, </w:t>
      </w:r>
      <w:r>
        <w:rPr>
          <w:sz w:val="32"/>
        </w:rPr>
        <w:t xml:space="preserve">а также </w:t>
      </w:r>
      <w:r>
        <w:rPr>
          <w:sz w:val="32"/>
        </w:rPr>
        <w:t>член</w:t>
      </w:r>
      <w:r>
        <w:rPr>
          <w:sz w:val="32"/>
        </w:rPr>
        <w:t xml:space="preserve">ов </w:t>
      </w:r>
      <w:r>
        <w:rPr>
          <w:sz w:val="32"/>
        </w:rPr>
        <w:t>Совета</w:t>
      </w:r>
      <w:r>
        <w:rPr>
          <w:sz w:val="32"/>
        </w:rPr>
        <w:t xml:space="preserve"> за </w:t>
      </w:r>
      <w:r>
        <w:rPr>
          <w:sz w:val="32"/>
        </w:rPr>
        <w:t>к</w:t>
      </w:r>
      <w:r>
        <w:rPr>
          <w:sz w:val="32"/>
        </w:rPr>
        <w:t>онструктивн</w:t>
      </w:r>
      <w:r>
        <w:rPr>
          <w:sz w:val="32"/>
        </w:rPr>
        <w:t xml:space="preserve">ую </w:t>
      </w:r>
      <w:r>
        <w:rPr>
          <w:sz w:val="32"/>
        </w:rPr>
        <w:t>совместн</w:t>
      </w:r>
      <w:r>
        <w:rPr>
          <w:sz w:val="32"/>
        </w:rPr>
        <w:t xml:space="preserve">ую </w:t>
      </w:r>
      <w:r>
        <w:rPr>
          <w:sz w:val="32"/>
        </w:rPr>
        <w:t>работ</w:t>
      </w:r>
      <w:r>
        <w:rPr>
          <w:sz w:val="32"/>
        </w:rPr>
        <w:t xml:space="preserve">у </w:t>
      </w:r>
      <w:r>
        <w:rPr>
          <w:sz w:val="32"/>
        </w:rPr>
        <w:t xml:space="preserve">и выразить </w:t>
      </w:r>
      <w:r>
        <w:rPr>
          <w:sz w:val="32"/>
        </w:rPr>
        <w:t xml:space="preserve">уверенность в </w:t>
      </w:r>
      <w:r>
        <w:rPr>
          <w:sz w:val="32"/>
        </w:rPr>
        <w:t>дальнейше</w:t>
      </w:r>
      <w:r>
        <w:rPr>
          <w:sz w:val="32"/>
        </w:rPr>
        <w:t>м</w:t>
      </w:r>
      <w:r>
        <w:rPr>
          <w:sz w:val="32"/>
        </w:rPr>
        <w:t xml:space="preserve"> плодотворно</w:t>
      </w:r>
      <w:r>
        <w:rPr>
          <w:sz w:val="32"/>
        </w:rPr>
        <w:t>м</w:t>
      </w:r>
      <w:r>
        <w:rPr>
          <w:sz w:val="32"/>
        </w:rPr>
        <w:t xml:space="preserve"> сотрудничеств</w:t>
      </w:r>
      <w:r>
        <w:rPr>
          <w:sz w:val="32"/>
        </w:rPr>
        <w:t>е</w:t>
      </w:r>
      <w:r>
        <w:rPr>
          <w:sz w:val="32"/>
        </w:rPr>
        <w:t>.</w:t>
      </w:r>
    </w:p>
    <w:p w14:paraId="2A000000">
      <w:pPr>
        <w:pStyle w:val="Style_5"/>
        <w:widowControl w:val="1"/>
        <w:tabs>
          <w:tab w:leader="none" w:pos="1845" w:val="left"/>
        </w:tabs>
        <w:ind w:firstLine="720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Спасибо за внимание.</w:t>
      </w:r>
    </w:p>
    <w:sectPr>
      <w:headerReference r:id="rId1" w:type="default"/>
      <w:headerReference r:id="rId2" w:type="even"/>
      <w:pgSz w:h="11907" w:orient="portrait" w:w="8391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basedOn w:val="Style_6"/>
    <w:next w:val="Style_6"/>
    <w:link w:val="Style_13_ch"/>
    <w:uiPriority w:val="9"/>
    <w:qFormat/>
    <w:pPr>
      <w:keepNext w:val="1"/>
      <w:widowControl w:val="1"/>
      <w:spacing w:after="60" w:before="240"/>
      <w:ind/>
      <w:outlineLvl w:val="2"/>
    </w:pPr>
    <w:rPr>
      <w:rFonts w:ascii="Cambria" w:hAnsi="Cambria"/>
      <w:b w:val="1"/>
      <w:sz w:val="26"/>
    </w:rPr>
  </w:style>
  <w:style w:styleId="Style_13_ch" w:type="character">
    <w:name w:val="heading 3"/>
    <w:basedOn w:val="Style_6_ch"/>
    <w:link w:val="Style_13"/>
    <w:rPr>
      <w:rFonts w:ascii="Cambria" w:hAnsi="Cambria"/>
      <w:b w:val="1"/>
      <w:sz w:val="26"/>
    </w:rPr>
  </w:style>
  <w:style w:styleId="Style_5" w:type="paragraph">
    <w:name w:val="No Spacing"/>
    <w:link w:val="Style_5_ch"/>
    <w:rPr>
      <w:rFonts w:ascii="Calibri" w:hAnsi="Calibri"/>
      <w:sz w:val="22"/>
    </w:rPr>
  </w:style>
  <w:style w:styleId="Style_5_ch" w:type="character">
    <w:name w:val="No Spacing"/>
    <w:link w:val="Style_5"/>
    <w:rPr>
      <w:rFonts w:ascii="Calibri" w:hAnsi="Calibri"/>
      <w:sz w:val="22"/>
    </w:rPr>
  </w:style>
  <w:style w:styleId="Style_14" w:type="paragraph">
    <w:name w:val="текст"/>
    <w:basedOn w:val="Style_6"/>
    <w:link w:val="Style_14_ch"/>
    <w:pPr>
      <w:widowControl w:val="0"/>
      <w:spacing w:before="240" w:line="360" w:lineRule="auto"/>
      <w:ind w:left="794"/>
    </w:pPr>
    <w:rPr>
      <w:color w:val="000000"/>
    </w:rPr>
  </w:style>
  <w:style w:styleId="Style_14_ch" w:type="character">
    <w:name w:val="текст"/>
    <w:basedOn w:val="Style_6_ch"/>
    <w:link w:val="Style_14"/>
    <w:rPr>
      <w:color w:val="000000"/>
    </w:rPr>
  </w:style>
  <w:style w:styleId="Style_15" w:type="paragraph">
    <w:name w:val="toc 3"/>
    <w:next w:val="Style_6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4" w:type="paragraph">
    <w:name w:val="No Spacing"/>
    <w:link w:val="Style_4_ch"/>
    <w:rPr>
      <w:rFonts w:ascii="Calibri" w:hAnsi="Calibri"/>
      <w:sz w:val="22"/>
    </w:rPr>
  </w:style>
  <w:style w:styleId="Style_4_ch" w:type="character">
    <w:name w:val="No Spacing"/>
    <w:link w:val="Style_4"/>
    <w:rPr>
      <w:rFonts w:ascii="Calibri" w:hAnsi="Calibri"/>
      <w:sz w:val="22"/>
    </w:rPr>
  </w:style>
  <w:style w:styleId="Style_16" w:type="paragraph">
    <w:name w:val="Balloon Text"/>
    <w:basedOn w:val="Style_6"/>
    <w:link w:val="Style_16_ch"/>
    <w:rPr>
      <w:rFonts w:ascii="Tahoma" w:hAnsi="Tahoma"/>
      <w:sz w:val="16"/>
    </w:rPr>
  </w:style>
  <w:style w:styleId="Style_16_ch" w:type="character">
    <w:name w:val="Balloon Text"/>
    <w:basedOn w:val="Style_6_ch"/>
    <w:link w:val="Style_16"/>
    <w:rPr>
      <w:rFonts w:ascii="Tahoma" w:hAnsi="Tahoma"/>
      <w:sz w:val="16"/>
    </w:rPr>
  </w:style>
  <w:style w:styleId="Style_17" w:type="paragraph">
    <w:name w:val="heading 5"/>
    <w:next w:val="Style_6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6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6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" w:type="paragraph">
    <w:name w:val="page number"/>
    <w:basedOn w:val="Style_11"/>
    <w:link w:val="Style_2_ch"/>
  </w:style>
  <w:style w:styleId="Style_2_ch" w:type="character">
    <w:name w:val="page number"/>
    <w:basedOn w:val="Style_11_ch"/>
    <w:link w:val="Style_2"/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3" w:type="paragraph">
    <w:name w:val="Без интервала1"/>
    <w:link w:val="Style_3_ch"/>
    <w:rPr>
      <w:rFonts w:ascii="Calibri" w:hAnsi="Calibri"/>
      <w:sz w:val="22"/>
    </w:rPr>
  </w:style>
  <w:style w:styleId="Style_3_ch" w:type="character">
    <w:name w:val="Без интервала1"/>
    <w:link w:val="Style_3"/>
    <w:rPr>
      <w:rFonts w:ascii="Calibri" w:hAnsi="Calibri"/>
      <w:sz w:val="22"/>
    </w:rPr>
  </w:style>
  <w:style w:styleId="Style_23" w:type="paragraph">
    <w:name w:val="toc 9"/>
    <w:next w:val="Style_6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6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6_ch"/>
    <w:link w:val="Style_1"/>
  </w:style>
  <w:style w:styleId="Style_25" w:type="paragraph">
    <w:name w:val="toc 5"/>
    <w:next w:val="Style_6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6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6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6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List Paragraph"/>
    <w:basedOn w:val="Style_6"/>
    <w:link w:val="Style_29_ch"/>
    <w:pPr>
      <w:widowControl w:val="1"/>
      <w:spacing w:after="200" w:line="276" w:lineRule="auto"/>
      <w:ind w:left="720"/>
      <w:contextualSpacing w:val="1"/>
    </w:pPr>
    <w:rPr>
      <w:sz w:val="40"/>
    </w:rPr>
  </w:style>
  <w:style w:styleId="Style_29_ch" w:type="character">
    <w:name w:val="List Paragraph"/>
    <w:basedOn w:val="Style_6_ch"/>
    <w:link w:val="Style_29"/>
    <w:rPr>
      <w:sz w:val="40"/>
    </w:rPr>
  </w:style>
  <w:style w:styleId="Style_30" w:type="paragraph">
    <w:name w:val="heading 2"/>
    <w:next w:val="Style_6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paragraph">
    <w:name w:val="Normal (Web)"/>
    <w:basedOn w:val="Style_6"/>
    <w:link w:val="Style_31_ch"/>
    <w:pPr>
      <w:widowControl w:val="1"/>
      <w:spacing w:afterAutospacing="on" w:beforeAutospacing="on"/>
      <w:ind/>
    </w:pPr>
  </w:style>
  <w:style w:styleId="Style_31_ch" w:type="character">
    <w:name w:val="Normal (Web)"/>
    <w:basedOn w:val="Style_6_ch"/>
    <w:link w:val="Style_31"/>
  </w:style>
  <w:style w:styleId="Style_32" w:type="table">
    <w:name w:val="Table Grid"/>
    <w:basedOn w:val="Style_3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2025-02-11T13:06:13Z</dcterms:created>
  <dcterms:modified xsi:type="dcterms:W3CDTF">2025-02-11T13:06:13Z</dcterms:modified>
</cp:coreProperties>
</file>